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D3F4" w14:textId="7D9AD583" w:rsidR="000675BC" w:rsidRPr="0033134E" w:rsidRDefault="00C1583C" w:rsidP="000675BC">
      <w:pPr>
        <w:pStyle w:val="Tekstkomentarza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TP-Link EAP265 HD - n</w:t>
      </w:r>
      <w:r w:rsidR="00866C61" w:rsidRPr="0033134E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owy punkt dostępowy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>z serii Omada</w:t>
      </w:r>
      <w:r w:rsidR="00D80FDE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866C61" w:rsidRPr="0033134E">
        <w:rPr>
          <w:rFonts w:ascii="Arial" w:hAnsi="Arial" w:cs="Arial"/>
          <w:b/>
          <w:color w:val="7F7F7F" w:themeColor="text1" w:themeTint="80"/>
          <w:sz w:val="24"/>
          <w:szCs w:val="24"/>
        </w:rPr>
        <w:t>do zadań specjalnych</w:t>
      </w:r>
    </w:p>
    <w:p w14:paraId="44DA502D" w14:textId="77777777" w:rsidR="0033134E" w:rsidRPr="000675BC" w:rsidRDefault="0033134E" w:rsidP="000675BC">
      <w:pPr>
        <w:pStyle w:val="Tekstkomentarza"/>
        <w:jc w:val="center"/>
        <w:rPr>
          <w:rFonts w:ascii="Arial" w:hAnsi="Arial" w:cs="Arial"/>
          <w:b/>
          <w:color w:val="7F7F7F" w:themeColor="text1" w:themeTint="80"/>
          <w:sz w:val="22"/>
          <w:szCs w:val="22"/>
        </w:rPr>
      </w:pPr>
    </w:p>
    <w:p w14:paraId="32963635" w14:textId="5F672668" w:rsidR="00DB5DCA" w:rsidRPr="00005FEA" w:rsidRDefault="00C1583C" w:rsidP="001346D0">
      <w:pPr>
        <w:spacing w:before="240" w:line="360" w:lineRule="auto"/>
        <w:jc w:val="both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TP-Link rozszerza portfolio urządzeń z serii Omada o nowy punkt dostępowy EAP 265 HD. Urządzenie</w:t>
      </w:r>
      <w:r w:rsidR="00595424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105CB7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idealni</w:t>
      </w:r>
      <w:r w:rsidR="00B27D75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e sprawdzi się w miejscach, w których </w:t>
      </w:r>
      <w:r w:rsidR="00FC7EA4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z bezprzewodowej sieci</w:t>
      </w:r>
      <w:r w:rsidR="00206DB3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FC7EA4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korzysta</w:t>
      </w:r>
      <w:r w:rsidR="00206DB3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wielu użytkowników</w:t>
      </w:r>
      <w:r w:rsidR="002A15EB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jednocześnie</w:t>
      </w:r>
      <w:r w:rsidR="00206DB3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, np. </w:t>
      </w:r>
      <w:r w:rsid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w hotelach,</w:t>
      </w:r>
      <w:r w:rsidR="00464154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salach</w:t>
      </w:r>
      <w:r w:rsidR="007A0494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464154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wykładowych, </w:t>
      </w:r>
      <w:r w:rsidR="00595424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biurach typu open </w:t>
      </w:r>
      <w:proofErr w:type="spellStart"/>
      <w:r w:rsidR="00595424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space</w:t>
      </w:r>
      <w:proofErr w:type="spellEnd"/>
      <w:r w:rsidR="00595424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czy</w:t>
      </w:r>
      <w:r w:rsidR="00DB5DCA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halach targowych. 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Nowy Access Point </w:t>
      </w:r>
      <w:r w:rsidR="009D7AF6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może obsłużyć aż do </w:t>
      </w:r>
      <w:r w:rsidR="00424FA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pięciuset</w:t>
      </w:r>
      <w:r w:rsidR="009D7AF6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urządzeń </w:t>
      </w:r>
      <w:r w:rsidR="0033698A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klienckich jednocześnie</w:t>
      </w:r>
      <w:r w:rsidR="00866C61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!</w:t>
      </w:r>
      <w:r w:rsidR="0033698A" w:rsidRPr="00005F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</w:p>
    <w:p w14:paraId="6A4BD9AB" w14:textId="140C4AE8" w:rsidR="001E000A" w:rsidRDefault="001E000A" w:rsidP="001921BB">
      <w:pPr>
        <w:spacing w:before="240" w:line="36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Niewątpliwą zaletą nowego punktu dostępowego jest możliwość obsługi kilkuset urządzeń jednocześnie. Pozwala to na znaczne obniżenie kosztów instalacji względem wielu mniej wydajnych punktów dostępowych. </w:t>
      </w:r>
      <w:r w:rsidR="00C1583C">
        <w:rPr>
          <w:rFonts w:ascii="Arial" w:hAnsi="Arial" w:cs="Arial"/>
          <w:color w:val="7F7F7F" w:themeColor="text1" w:themeTint="80"/>
          <w:sz w:val="22"/>
          <w:szCs w:val="22"/>
        </w:rPr>
        <w:t xml:space="preserve">EAP265 HD pracuje w standardzie WiFi 802.11ac </w:t>
      </w:r>
      <w:proofErr w:type="spellStart"/>
      <w:r w:rsidR="00C1583C">
        <w:rPr>
          <w:rFonts w:ascii="Arial" w:hAnsi="Arial" w:cs="Arial"/>
          <w:color w:val="7F7F7F" w:themeColor="text1" w:themeTint="80"/>
          <w:sz w:val="22"/>
          <w:szCs w:val="22"/>
        </w:rPr>
        <w:t>Wave</w:t>
      </w:r>
      <w:proofErr w:type="spellEnd"/>
      <w:r w:rsidR="00C1583C">
        <w:rPr>
          <w:rFonts w:ascii="Arial" w:hAnsi="Arial" w:cs="Arial"/>
          <w:color w:val="7F7F7F" w:themeColor="text1" w:themeTint="80"/>
          <w:sz w:val="22"/>
          <w:szCs w:val="22"/>
        </w:rPr>
        <w:t xml:space="preserve"> 2 i oferuje użytkownikom do 1750 Mb/s w dwóch pasmach transmisji</w:t>
      </w:r>
      <w:r w:rsidR="00CF6927">
        <w:rPr>
          <w:rFonts w:ascii="Arial" w:hAnsi="Arial" w:cs="Arial"/>
          <w:color w:val="7F7F7F" w:themeColor="text1" w:themeTint="80"/>
          <w:sz w:val="22"/>
          <w:szCs w:val="22"/>
        </w:rPr>
        <w:t xml:space="preserve"> (do 1300 Mb/s w paśmie 5</w:t>
      </w:r>
      <w:r w:rsidR="00D80FDE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CF6927">
        <w:rPr>
          <w:rFonts w:ascii="Arial" w:hAnsi="Arial" w:cs="Arial"/>
          <w:color w:val="7F7F7F" w:themeColor="text1" w:themeTint="80"/>
          <w:sz w:val="22"/>
          <w:szCs w:val="22"/>
        </w:rPr>
        <w:t>GHz oraz do 450 Mb/s</w:t>
      </w:r>
      <w:r w:rsidR="00CF6927" w:rsidRPr="003E4497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CF6927">
        <w:rPr>
          <w:rFonts w:ascii="Arial" w:hAnsi="Arial" w:cs="Arial"/>
          <w:color w:val="7F7F7F" w:themeColor="text1" w:themeTint="80"/>
          <w:sz w:val="22"/>
          <w:szCs w:val="22"/>
        </w:rPr>
        <w:t>w paśmie 2,4 GHz).</w:t>
      </w:r>
      <w:r w:rsidR="00E326C6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D802F7">
        <w:rPr>
          <w:rFonts w:ascii="Arial" w:hAnsi="Arial" w:cs="Arial"/>
          <w:color w:val="7F7F7F" w:themeColor="text1" w:themeTint="80"/>
          <w:sz w:val="22"/>
          <w:szCs w:val="22"/>
        </w:rPr>
        <w:t>W urządzeniu zastosowano technologi</w:t>
      </w:r>
      <w:r w:rsidR="00372781">
        <w:rPr>
          <w:rFonts w:ascii="Arial" w:hAnsi="Arial" w:cs="Arial"/>
          <w:color w:val="7F7F7F" w:themeColor="text1" w:themeTint="80"/>
          <w:sz w:val="22"/>
          <w:szCs w:val="22"/>
        </w:rPr>
        <w:t>e</w:t>
      </w:r>
      <w:r w:rsidR="00D802F7">
        <w:rPr>
          <w:rFonts w:ascii="Arial" w:hAnsi="Arial" w:cs="Arial"/>
          <w:color w:val="7F7F7F" w:themeColor="text1" w:themeTint="80"/>
          <w:sz w:val="22"/>
          <w:szCs w:val="22"/>
        </w:rPr>
        <w:t xml:space="preserve"> MU-MIMO pozwalającą na komunikację z wieloma urządzeniami w tym samym czasie</w:t>
      </w:r>
      <w:r w:rsidR="005B79E6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D802F7">
        <w:rPr>
          <w:rFonts w:ascii="Arial" w:hAnsi="Arial" w:cs="Arial"/>
          <w:color w:val="7F7F7F" w:themeColor="text1" w:themeTint="80"/>
          <w:sz w:val="22"/>
          <w:szCs w:val="22"/>
        </w:rPr>
        <w:t xml:space="preserve">oraz </w:t>
      </w:r>
      <w:proofErr w:type="spellStart"/>
      <w:r w:rsidR="00D802F7">
        <w:rPr>
          <w:rFonts w:ascii="Arial" w:hAnsi="Arial" w:cs="Arial"/>
          <w:color w:val="7F7F7F" w:themeColor="text1" w:themeTint="80"/>
          <w:sz w:val="22"/>
          <w:szCs w:val="22"/>
        </w:rPr>
        <w:t>Airtime</w:t>
      </w:r>
      <w:proofErr w:type="spellEnd"/>
      <w:r w:rsidR="00D802F7">
        <w:rPr>
          <w:rFonts w:ascii="Arial" w:hAnsi="Arial" w:cs="Arial"/>
          <w:color w:val="7F7F7F" w:themeColor="text1" w:themeTint="80"/>
          <w:sz w:val="22"/>
          <w:szCs w:val="22"/>
        </w:rPr>
        <w:t xml:space="preserve"> Fairness, która </w:t>
      </w:r>
      <w:r w:rsidR="00D802F7" w:rsidRPr="00D802F7">
        <w:rPr>
          <w:rFonts w:ascii="Arial" w:hAnsi="Arial" w:cs="Arial"/>
          <w:color w:val="7F7F7F" w:themeColor="text1" w:themeTint="80"/>
          <w:sz w:val="22"/>
          <w:szCs w:val="22"/>
        </w:rPr>
        <w:t>polega na promowaniu wydajniejszych klientów bezprzewodowych, którzy są w stanie przesłać większą ilość danych w zadanym przedziale czasu.</w:t>
      </w:r>
      <w:r w:rsidR="00D802F7">
        <w:rPr>
          <w:rFonts w:ascii="Arial" w:hAnsi="Arial" w:cs="Arial"/>
          <w:color w:val="7F7F7F" w:themeColor="text1" w:themeTint="80"/>
          <w:sz w:val="22"/>
          <w:szCs w:val="22"/>
        </w:rPr>
        <w:t xml:space="preserve"> Dzięki temu </w:t>
      </w:r>
      <w:r w:rsidR="005B79E6">
        <w:rPr>
          <w:rFonts w:ascii="Arial" w:hAnsi="Arial" w:cs="Arial"/>
          <w:color w:val="7F7F7F" w:themeColor="text1" w:themeTint="80"/>
          <w:sz w:val="22"/>
          <w:szCs w:val="22"/>
        </w:rPr>
        <w:t xml:space="preserve">nie ma obaw, że uczestnicy dużych wydarzeń, goście hotelu czy restauracji pozbawieni zostaną możliwości korzystania z </w:t>
      </w:r>
      <w:r w:rsidR="00005FEA">
        <w:rPr>
          <w:rFonts w:ascii="Arial" w:hAnsi="Arial" w:cs="Arial"/>
          <w:color w:val="7F7F7F" w:themeColor="text1" w:themeTint="80"/>
          <w:sz w:val="22"/>
          <w:szCs w:val="22"/>
        </w:rPr>
        <w:t>i</w:t>
      </w:r>
      <w:r w:rsidR="005B79E6">
        <w:rPr>
          <w:rFonts w:ascii="Arial" w:hAnsi="Arial" w:cs="Arial"/>
          <w:color w:val="7F7F7F" w:themeColor="text1" w:themeTint="80"/>
          <w:sz w:val="22"/>
          <w:szCs w:val="22"/>
        </w:rPr>
        <w:t xml:space="preserve">nternetu przez WiFi. </w:t>
      </w:r>
      <w:r w:rsidR="00372781">
        <w:rPr>
          <w:rFonts w:ascii="Arial" w:hAnsi="Arial" w:cs="Arial"/>
          <w:color w:val="7F7F7F" w:themeColor="text1" w:themeTint="80"/>
          <w:sz w:val="22"/>
          <w:szCs w:val="22"/>
        </w:rPr>
        <w:br/>
      </w:r>
      <w:r w:rsidR="00D802F7">
        <w:rPr>
          <w:rFonts w:ascii="Arial" w:hAnsi="Arial" w:cs="Arial"/>
          <w:color w:val="7F7F7F" w:themeColor="text1" w:themeTint="80"/>
          <w:sz w:val="22"/>
          <w:szCs w:val="22"/>
        </w:rPr>
        <w:t>Za zasięg nowego Access Pointa odpowiada sześć wbudowanych profesjonalnych anten (po trzy anteny na pasmo)</w:t>
      </w:r>
      <w:r w:rsidR="005B79E6">
        <w:rPr>
          <w:rFonts w:ascii="Arial" w:hAnsi="Arial" w:cs="Arial"/>
          <w:color w:val="7F7F7F" w:themeColor="text1" w:themeTint="80"/>
          <w:sz w:val="22"/>
          <w:szCs w:val="22"/>
        </w:rPr>
        <w:t xml:space="preserve"> wspieran</w:t>
      </w:r>
      <w:r w:rsidR="00372781">
        <w:rPr>
          <w:rFonts w:ascii="Arial" w:hAnsi="Arial" w:cs="Arial"/>
          <w:color w:val="7F7F7F" w:themeColor="text1" w:themeTint="80"/>
          <w:sz w:val="22"/>
          <w:szCs w:val="22"/>
        </w:rPr>
        <w:t>ych</w:t>
      </w:r>
      <w:r w:rsidR="005B79E6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005FEA">
        <w:rPr>
          <w:rFonts w:ascii="Arial" w:hAnsi="Arial" w:cs="Arial"/>
          <w:color w:val="7F7F7F" w:themeColor="text1" w:themeTint="80"/>
          <w:sz w:val="22"/>
          <w:szCs w:val="22"/>
        </w:rPr>
        <w:t xml:space="preserve">dodatkowo </w:t>
      </w:r>
      <w:r w:rsidR="005B79E6">
        <w:rPr>
          <w:rFonts w:ascii="Arial" w:hAnsi="Arial" w:cs="Arial"/>
          <w:color w:val="7F7F7F" w:themeColor="text1" w:themeTint="80"/>
          <w:sz w:val="22"/>
          <w:szCs w:val="22"/>
        </w:rPr>
        <w:t>przez technologię</w:t>
      </w:r>
      <w:r w:rsidR="00F27FC0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1C02C0">
        <w:rPr>
          <w:rFonts w:ascii="Arial" w:hAnsi="Arial" w:cs="Arial"/>
          <w:color w:val="7F7F7F" w:themeColor="text1" w:themeTint="80"/>
          <w:sz w:val="22"/>
          <w:szCs w:val="22"/>
        </w:rPr>
        <w:t>kształtowania wiązki</w:t>
      </w:r>
      <w:r w:rsidR="005B79E6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005FEA">
        <w:rPr>
          <w:rFonts w:ascii="Arial" w:hAnsi="Arial" w:cs="Arial"/>
          <w:color w:val="7F7F7F" w:themeColor="text1" w:themeTint="80"/>
          <w:sz w:val="22"/>
          <w:szCs w:val="22"/>
        </w:rPr>
        <w:t>(</w:t>
      </w:r>
      <w:r w:rsidR="005B79E6">
        <w:rPr>
          <w:rFonts w:ascii="Arial" w:hAnsi="Arial" w:cs="Arial"/>
          <w:color w:val="7F7F7F" w:themeColor="text1" w:themeTint="80"/>
          <w:sz w:val="22"/>
          <w:szCs w:val="22"/>
        </w:rPr>
        <w:t>Beamforming</w:t>
      </w:r>
      <w:r w:rsidR="00005FEA">
        <w:rPr>
          <w:rFonts w:ascii="Arial" w:hAnsi="Arial" w:cs="Arial"/>
          <w:color w:val="7F7F7F" w:themeColor="text1" w:themeTint="80"/>
          <w:sz w:val="22"/>
          <w:szCs w:val="22"/>
        </w:rPr>
        <w:t>)</w:t>
      </w:r>
      <w:r w:rsidR="005B79E6">
        <w:rPr>
          <w:rFonts w:ascii="Arial" w:hAnsi="Arial" w:cs="Arial"/>
          <w:color w:val="7F7F7F" w:themeColor="text1" w:themeTint="80"/>
          <w:sz w:val="22"/>
          <w:szCs w:val="22"/>
        </w:rPr>
        <w:t>, sprawiając</w:t>
      </w:r>
      <w:r>
        <w:rPr>
          <w:rFonts w:ascii="Arial" w:hAnsi="Arial" w:cs="Arial"/>
          <w:color w:val="7F7F7F" w:themeColor="text1" w:themeTint="80"/>
          <w:sz w:val="22"/>
          <w:szCs w:val="22"/>
        </w:rPr>
        <w:t>ą,</w:t>
      </w:r>
      <w:r w:rsidR="005B79E6">
        <w:rPr>
          <w:rFonts w:ascii="Arial" w:hAnsi="Arial" w:cs="Arial"/>
          <w:color w:val="7F7F7F" w:themeColor="text1" w:themeTint="80"/>
          <w:sz w:val="22"/>
          <w:szCs w:val="22"/>
        </w:rPr>
        <w:t xml:space="preserve"> że </w:t>
      </w:r>
      <w:r w:rsidR="001C02C0">
        <w:rPr>
          <w:rFonts w:ascii="Arial" w:hAnsi="Arial" w:cs="Arial"/>
          <w:color w:val="7F7F7F" w:themeColor="text1" w:themeTint="80"/>
          <w:sz w:val="22"/>
          <w:szCs w:val="22"/>
        </w:rPr>
        <w:t>połączeni</w:t>
      </w:r>
      <w:r>
        <w:rPr>
          <w:rFonts w:ascii="Arial" w:hAnsi="Arial" w:cs="Arial"/>
          <w:color w:val="7F7F7F" w:themeColor="text1" w:themeTint="80"/>
          <w:sz w:val="22"/>
          <w:szCs w:val="22"/>
        </w:rPr>
        <w:t>a są</w:t>
      </w:r>
      <w:r w:rsidR="001C02C0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5B02A3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B63D06">
        <w:rPr>
          <w:rFonts w:ascii="Arial" w:hAnsi="Arial" w:cs="Arial"/>
          <w:color w:val="7F7F7F" w:themeColor="text1" w:themeTint="80"/>
          <w:sz w:val="22"/>
          <w:szCs w:val="22"/>
        </w:rPr>
        <w:t xml:space="preserve">bardzo wydajane i </w:t>
      </w:r>
      <w:r w:rsidR="005B02A3">
        <w:rPr>
          <w:rFonts w:ascii="Arial" w:hAnsi="Arial" w:cs="Arial"/>
          <w:color w:val="7F7F7F" w:themeColor="text1" w:themeTint="80"/>
          <w:sz w:val="22"/>
          <w:szCs w:val="22"/>
        </w:rPr>
        <w:t>stabilne</w:t>
      </w:r>
      <w:r w:rsidR="00B63D06">
        <w:rPr>
          <w:rFonts w:ascii="Arial" w:hAnsi="Arial" w:cs="Arial"/>
          <w:color w:val="7F7F7F" w:themeColor="text1" w:themeTint="80"/>
          <w:sz w:val="22"/>
          <w:szCs w:val="22"/>
        </w:rPr>
        <w:t>.</w:t>
      </w:r>
      <w:r w:rsidR="005B02A3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005FEA">
        <w:rPr>
          <w:rFonts w:ascii="Arial" w:hAnsi="Arial" w:cs="Arial"/>
          <w:color w:val="7F7F7F" w:themeColor="text1" w:themeTint="80"/>
          <w:sz w:val="22"/>
          <w:szCs w:val="22"/>
        </w:rPr>
        <w:t xml:space="preserve">EAP265 HD 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posiada wsparcie dla technologii </w:t>
      </w:r>
      <w:r w:rsidR="001921BB">
        <w:rPr>
          <w:rFonts w:ascii="Arial" w:hAnsi="Arial" w:cs="Arial"/>
          <w:color w:val="7F7F7F" w:themeColor="text1" w:themeTint="80"/>
          <w:sz w:val="22"/>
          <w:szCs w:val="22"/>
        </w:rPr>
        <w:t>płynn</w:t>
      </w:r>
      <w:r>
        <w:rPr>
          <w:rFonts w:ascii="Arial" w:hAnsi="Arial" w:cs="Arial"/>
          <w:color w:val="7F7F7F" w:themeColor="text1" w:themeTint="80"/>
          <w:sz w:val="22"/>
          <w:szCs w:val="22"/>
        </w:rPr>
        <w:t>ego</w:t>
      </w:r>
      <w:r w:rsidR="001921BB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proofErr w:type="spellStart"/>
      <w:r w:rsidR="001921BB">
        <w:rPr>
          <w:rFonts w:ascii="Arial" w:hAnsi="Arial" w:cs="Arial"/>
          <w:color w:val="7F7F7F" w:themeColor="text1" w:themeTint="80"/>
          <w:sz w:val="22"/>
          <w:szCs w:val="22"/>
        </w:rPr>
        <w:t>roaming</w:t>
      </w:r>
      <w:r>
        <w:rPr>
          <w:rFonts w:ascii="Arial" w:hAnsi="Arial" w:cs="Arial"/>
          <w:color w:val="7F7F7F" w:themeColor="text1" w:themeTint="80"/>
          <w:sz w:val="22"/>
          <w:szCs w:val="22"/>
        </w:rPr>
        <w:t>u</w:t>
      </w:r>
      <w:proofErr w:type="spellEnd"/>
      <w:r w:rsidR="001921BB">
        <w:rPr>
          <w:rFonts w:ascii="Arial" w:hAnsi="Arial" w:cs="Arial"/>
          <w:color w:val="7F7F7F" w:themeColor="text1" w:themeTint="80"/>
          <w:sz w:val="22"/>
          <w:szCs w:val="22"/>
        </w:rPr>
        <w:t xml:space="preserve">, </w:t>
      </w:r>
      <w:r w:rsidR="00005FEA">
        <w:rPr>
          <w:rFonts w:ascii="Arial" w:hAnsi="Arial" w:cs="Arial"/>
          <w:color w:val="7F7F7F" w:themeColor="text1" w:themeTint="80"/>
          <w:sz w:val="22"/>
          <w:szCs w:val="22"/>
        </w:rPr>
        <w:t>więc</w:t>
      </w:r>
      <w:r w:rsidR="001921BB">
        <w:rPr>
          <w:rFonts w:ascii="Arial" w:hAnsi="Arial" w:cs="Arial"/>
          <w:color w:val="7F7F7F" w:themeColor="text1" w:themeTint="80"/>
          <w:sz w:val="22"/>
          <w:szCs w:val="22"/>
        </w:rPr>
        <w:t xml:space="preserve"> osoby przemieszczające się po budynku, nigdy nie </w:t>
      </w:r>
      <w:r w:rsidR="00B25C67">
        <w:rPr>
          <w:rFonts w:ascii="Arial" w:hAnsi="Arial" w:cs="Arial"/>
          <w:color w:val="7F7F7F" w:themeColor="text1" w:themeTint="80"/>
          <w:sz w:val="22"/>
          <w:szCs w:val="22"/>
        </w:rPr>
        <w:t>s</w:t>
      </w:r>
      <w:r w:rsidR="001921BB">
        <w:rPr>
          <w:rFonts w:ascii="Arial" w:hAnsi="Arial" w:cs="Arial"/>
          <w:color w:val="7F7F7F" w:themeColor="text1" w:themeTint="80"/>
          <w:sz w:val="22"/>
          <w:szCs w:val="22"/>
        </w:rPr>
        <w:t>trac</w:t>
      </w:r>
      <w:r w:rsidR="00B25C67">
        <w:rPr>
          <w:rFonts w:ascii="Arial" w:hAnsi="Arial" w:cs="Arial"/>
          <w:color w:val="7F7F7F" w:themeColor="text1" w:themeTint="80"/>
          <w:sz w:val="22"/>
          <w:szCs w:val="22"/>
        </w:rPr>
        <w:t>ą</w:t>
      </w:r>
      <w:r w:rsidR="001921BB">
        <w:rPr>
          <w:rFonts w:ascii="Arial" w:hAnsi="Arial" w:cs="Arial"/>
          <w:color w:val="7F7F7F" w:themeColor="text1" w:themeTint="80"/>
          <w:sz w:val="22"/>
          <w:szCs w:val="22"/>
        </w:rPr>
        <w:t xml:space="preserve"> zasięgu. Ich urządzenia mobilne – smartfony, tablety czy laptopy przełączą się w sposób niezauważalny na kolejne punkty dostępowe.</w:t>
      </w:r>
      <w:r w:rsidRPr="001E000A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372781">
        <w:rPr>
          <w:rFonts w:ascii="Arial" w:hAnsi="Arial" w:cs="Arial"/>
          <w:color w:val="7F7F7F" w:themeColor="text1" w:themeTint="80"/>
          <w:sz w:val="22"/>
          <w:szCs w:val="22"/>
        </w:rPr>
        <w:t xml:space="preserve">Urządzenie </w:t>
      </w:r>
      <w:r w:rsidRPr="00BD29A9">
        <w:rPr>
          <w:rFonts w:ascii="Arial" w:hAnsi="Arial" w:cs="Arial"/>
          <w:color w:val="7F7F7F" w:themeColor="text1" w:themeTint="80"/>
          <w:sz w:val="22"/>
          <w:szCs w:val="22"/>
        </w:rPr>
        <w:t xml:space="preserve">wyposażono 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także </w:t>
      </w:r>
      <w:r w:rsidRPr="00BD29A9">
        <w:rPr>
          <w:rFonts w:ascii="Arial" w:hAnsi="Arial" w:cs="Arial"/>
          <w:color w:val="7F7F7F" w:themeColor="text1" w:themeTint="80"/>
          <w:sz w:val="22"/>
          <w:szCs w:val="22"/>
        </w:rPr>
        <w:t xml:space="preserve">w dwa porty Ethernet 10/100/1000 Mb/s.  </w:t>
      </w:r>
    </w:p>
    <w:p w14:paraId="4DA95574" w14:textId="73D7849A" w:rsidR="0021670A" w:rsidRDefault="0021670A" w:rsidP="0021670A">
      <w:pPr>
        <w:spacing w:before="240" w:line="36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Co istotne, administratorzy sieci w obiektach wyposażanych w EAP265 HD mogą zaprogramować aż 16 niezależnych sieci WiFi (SSID), a za sprawą darmowego oprogramowania TP-Link Omada Controller lub kontrolera sprzętowego Omada C200, mogą także zarządzać siecią bezprzewodową złożoną nawet z setek punktów dostępowych z dowolnego komputera bądź aplikacji mobilnej.</w:t>
      </w:r>
      <w:r w:rsidRPr="0021670A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Podobnie jak pozostałe urządzenia z serii Omada produkt stwarza możliwość autoryzacji dostępu </w:t>
      </w:r>
      <w:r w:rsidR="00372781">
        <w:rPr>
          <w:rFonts w:ascii="Arial" w:hAnsi="Arial" w:cs="Arial"/>
          <w:color w:val="7F7F7F" w:themeColor="text1" w:themeTint="80"/>
          <w:sz w:val="22"/>
          <w:szCs w:val="22"/>
        </w:rPr>
        <w:br/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z uwierzytelnianiem przez SMS, Facebooka oraz logowanie za pomocą strony powitalnej, voucherów lub jednorazowych haseł dostępu. </w:t>
      </w:r>
    </w:p>
    <w:p w14:paraId="53F1FABA" w14:textId="36A25C4E" w:rsidR="0021670A" w:rsidRDefault="0021670A" w:rsidP="0021670A">
      <w:pPr>
        <w:spacing w:before="240" w:line="36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EAP265 HD obsługuje PoE (standard 802.3af/</w:t>
      </w:r>
      <w:proofErr w:type="spellStart"/>
      <w:r>
        <w:rPr>
          <w:rFonts w:ascii="Arial" w:hAnsi="Arial" w:cs="Arial"/>
          <w:color w:val="7F7F7F" w:themeColor="text1" w:themeTint="80"/>
          <w:sz w:val="22"/>
          <w:szCs w:val="22"/>
        </w:rPr>
        <w:t>at</w:t>
      </w:r>
      <w:proofErr w:type="spellEnd"/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) </w:t>
      </w:r>
      <w:r w:rsidR="00365C62">
        <w:rPr>
          <w:rFonts w:ascii="Arial" w:hAnsi="Arial" w:cs="Arial"/>
          <w:color w:val="7F7F7F" w:themeColor="text1" w:themeTint="80"/>
          <w:sz w:val="22"/>
          <w:szCs w:val="22"/>
        </w:rPr>
        <w:t>dzięki czemu z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asilanie </w:t>
      </w:r>
      <w:r w:rsidR="00365C62">
        <w:rPr>
          <w:rFonts w:ascii="Arial" w:hAnsi="Arial" w:cs="Arial"/>
          <w:color w:val="7F7F7F" w:themeColor="text1" w:themeTint="80"/>
          <w:sz w:val="22"/>
          <w:szCs w:val="22"/>
        </w:rPr>
        <w:t xml:space="preserve">punktu dostępowego </w:t>
      </w:r>
      <w:r w:rsidR="00372781">
        <w:rPr>
          <w:rFonts w:ascii="Arial" w:hAnsi="Arial" w:cs="Arial"/>
          <w:color w:val="7F7F7F" w:themeColor="text1" w:themeTint="80"/>
          <w:sz w:val="22"/>
          <w:szCs w:val="22"/>
        </w:rPr>
        <w:br/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i transmisja danych </w:t>
      </w:r>
      <w:r w:rsidR="00365C62">
        <w:rPr>
          <w:rFonts w:ascii="Arial" w:hAnsi="Arial" w:cs="Arial"/>
          <w:color w:val="7F7F7F" w:themeColor="text1" w:themeTint="80"/>
          <w:sz w:val="22"/>
          <w:szCs w:val="22"/>
        </w:rPr>
        <w:t>odbywa za pomocą jednego przewodu. Alternatywnie punkt dostępowy może być zasilany przez p</w:t>
      </w:r>
      <w:r w:rsidR="00E326C6">
        <w:rPr>
          <w:rFonts w:ascii="Arial" w:hAnsi="Arial" w:cs="Arial"/>
          <w:color w:val="7F7F7F" w:themeColor="text1" w:themeTint="80"/>
          <w:sz w:val="22"/>
          <w:szCs w:val="22"/>
        </w:rPr>
        <w:t>a</w:t>
      </w:r>
      <w:r w:rsidR="00365C62">
        <w:rPr>
          <w:rFonts w:ascii="Arial" w:hAnsi="Arial" w:cs="Arial"/>
          <w:color w:val="7F7F7F" w:themeColor="text1" w:themeTint="80"/>
          <w:sz w:val="22"/>
          <w:szCs w:val="22"/>
        </w:rPr>
        <w:t xml:space="preserve">sywne PoE – do zestawu dołączony </w:t>
      </w:r>
      <w:r w:rsidR="00372781">
        <w:rPr>
          <w:rFonts w:ascii="Arial" w:hAnsi="Arial" w:cs="Arial"/>
          <w:color w:val="7F7F7F" w:themeColor="text1" w:themeTint="80"/>
          <w:sz w:val="22"/>
          <w:szCs w:val="22"/>
        </w:rPr>
        <w:t xml:space="preserve">jest </w:t>
      </w:r>
      <w:proofErr w:type="spellStart"/>
      <w:r w:rsidR="00365C62">
        <w:rPr>
          <w:rFonts w:ascii="Arial" w:hAnsi="Arial" w:cs="Arial"/>
          <w:color w:val="7F7F7F" w:themeColor="text1" w:themeTint="80"/>
          <w:sz w:val="22"/>
          <w:szCs w:val="22"/>
        </w:rPr>
        <w:t>injector</w:t>
      </w:r>
      <w:proofErr w:type="spellEnd"/>
      <w:r w:rsidR="00365C62">
        <w:rPr>
          <w:rFonts w:ascii="Arial" w:hAnsi="Arial" w:cs="Arial"/>
          <w:color w:val="7F7F7F" w:themeColor="text1" w:themeTint="80"/>
          <w:sz w:val="22"/>
          <w:szCs w:val="22"/>
        </w:rPr>
        <w:t xml:space="preserve">. </w:t>
      </w:r>
    </w:p>
    <w:p w14:paraId="4801A918" w14:textId="385C5BC4" w:rsidR="00B25C67" w:rsidRDefault="003640E9" w:rsidP="00B25C67">
      <w:pPr>
        <w:spacing w:before="240" w:line="360" w:lineRule="auto"/>
        <w:jc w:val="both"/>
        <w:rPr>
          <w:rFonts w:ascii="Arial" w:eastAsia="Arial" w:hAnsi="Arial" w:cs="Arial"/>
          <w:bCs/>
          <w:color w:val="7F7F7F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lastRenderedPageBreak/>
        <w:t xml:space="preserve">EAP265 HD </w:t>
      </w:r>
      <w:r w:rsidR="00365C62">
        <w:rPr>
          <w:rFonts w:ascii="Arial" w:eastAsia="Arial" w:hAnsi="Arial" w:cs="Arial"/>
          <w:bCs/>
          <w:color w:val="7F7F7F"/>
          <w:sz w:val="22"/>
          <w:szCs w:val="22"/>
        </w:rPr>
        <w:t>jest już dostępny w sprzedaży w cenie około 465 zł brutto i został objęty 3-letnią gwarancją producenta.</w:t>
      </w:r>
    </w:p>
    <w:p w14:paraId="02C0DD55" w14:textId="44D6FAF2" w:rsidR="00B25C67" w:rsidRDefault="00B25C67" w:rsidP="00B25C67">
      <w:pPr>
        <w:spacing w:before="240" w:line="360" w:lineRule="auto"/>
        <w:jc w:val="both"/>
        <w:rPr>
          <w:rFonts w:ascii="Arial" w:eastAsia="Arial" w:hAnsi="Arial" w:cs="Arial"/>
          <w:b/>
          <w:color w:val="7F7F7F"/>
          <w:sz w:val="22"/>
          <w:szCs w:val="22"/>
        </w:rPr>
      </w:pPr>
      <w:r>
        <w:rPr>
          <w:rFonts w:ascii="Arial" w:eastAsia="Arial" w:hAnsi="Arial" w:cs="Arial"/>
          <w:color w:val="7F7F7F"/>
          <w:sz w:val="22"/>
          <w:szCs w:val="22"/>
        </w:rPr>
        <w:t xml:space="preserve">Więcej informacji na temat </w:t>
      </w:r>
      <w:hyperlink r:id="rId7" w:history="1">
        <w:r w:rsidRPr="00B25C67">
          <w:rPr>
            <w:rStyle w:val="Hipercze"/>
            <w:rFonts w:ascii="Arial" w:eastAsia="Arial" w:hAnsi="Arial" w:cs="Arial"/>
            <w:sz w:val="22"/>
            <w:szCs w:val="22"/>
          </w:rPr>
          <w:t>EAP265 HD</w:t>
        </w:r>
      </w:hyperlink>
      <w:r>
        <w:rPr>
          <w:rFonts w:ascii="Arial" w:eastAsia="Arial" w:hAnsi="Arial" w:cs="Arial"/>
          <w:color w:val="7F7F7F"/>
          <w:sz w:val="22"/>
          <w:szCs w:val="22"/>
        </w:rPr>
        <w:t xml:space="preserve"> dostępnych jest na stronie internetowej.</w:t>
      </w:r>
    </w:p>
    <w:p w14:paraId="76ABD3FB" w14:textId="77777777" w:rsidR="000428C1" w:rsidRDefault="000428C1" w:rsidP="000428C1">
      <w:pPr>
        <w:spacing w:before="240" w:line="360" w:lineRule="auto"/>
        <w:ind w:right="142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***</w:t>
      </w:r>
    </w:p>
    <w:p w14:paraId="76ABD3FC" w14:textId="77777777" w:rsidR="00DD5D3C" w:rsidRPr="000428C1" w:rsidRDefault="008C0CF1" w:rsidP="000428C1">
      <w:pPr>
        <w:spacing w:before="240" w:line="360" w:lineRule="auto"/>
        <w:ind w:right="142"/>
        <w:jc w:val="both"/>
        <w:rPr>
          <w:rFonts w:ascii="Arial" w:hAnsi="Arial" w:cs="Arial"/>
          <w:color w:val="7F7F7F" w:themeColor="text1" w:themeTint="80"/>
          <w:sz w:val="20"/>
          <w:szCs w:val="22"/>
        </w:rPr>
      </w:pPr>
      <w:r w:rsidRPr="000428C1">
        <w:rPr>
          <w:rFonts w:ascii="Arial" w:hAnsi="Arial" w:cs="Arial"/>
          <w:color w:val="7F7F7F" w:themeColor="text1" w:themeTint="80"/>
          <w:sz w:val="20"/>
          <w:szCs w:val="22"/>
        </w:rPr>
        <w:t>TP-Link</w:t>
      </w:r>
      <w:r w:rsidR="00DD5D3C" w:rsidRPr="000428C1">
        <w:rPr>
          <w:rFonts w:ascii="Arial" w:hAnsi="Arial" w:cs="Arial"/>
          <w:color w:val="7F7F7F" w:themeColor="text1" w:themeTint="80"/>
          <w:sz w:val="20"/>
          <w:szCs w:val="22"/>
        </w:rPr>
        <w:t xml:space="preserve"> to jeden z największych dostawców produktów sieciowych dla sektorów SOHO i SMB. W swojej ofercie ma routery bezprzewodowe, przełączniki, transmitery sieciowe, wzmacniacze sygnału, karty sieciowe, kamery cloud, biznesowe punkty dostępowe, bezprzewodowe urządzenia zewnętrzne, będące niezawodnymi rozwiązaniami dla inteligentnego domu.</w:t>
      </w:r>
    </w:p>
    <w:p w14:paraId="76ABD3FD" w14:textId="77777777" w:rsidR="000D623E" w:rsidRPr="000428C1" w:rsidRDefault="00DD5D3C" w:rsidP="00DD5D3C">
      <w:pPr>
        <w:spacing w:before="240" w:after="240" w:line="360" w:lineRule="auto"/>
        <w:jc w:val="both"/>
        <w:rPr>
          <w:rFonts w:ascii="Arial" w:hAnsi="Arial" w:cs="Arial"/>
          <w:color w:val="7F7F7F" w:themeColor="text1" w:themeTint="80"/>
          <w:sz w:val="20"/>
          <w:szCs w:val="22"/>
        </w:rPr>
      </w:pPr>
      <w:r w:rsidRPr="000428C1">
        <w:rPr>
          <w:rFonts w:ascii="Arial" w:hAnsi="Arial" w:cs="Arial"/>
          <w:b/>
          <w:color w:val="7F7F7F" w:themeColor="text1" w:themeTint="80"/>
          <w:sz w:val="20"/>
          <w:szCs w:val="22"/>
        </w:rPr>
        <w:t>Kontakt:</w:t>
      </w:r>
      <w:r w:rsidRPr="000428C1">
        <w:rPr>
          <w:rFonts w:ascii="Arial" w:hAnsi="Arial" w:cs="Arial"/>
          <w:color w:val="7F7F7F" w:themeColor="text1" w:themeTint="80"/>
          <w:sz w:val="20"/>
          <w:szCs w:val="22"/>
        </w:rPr>
        <w:t xml:space="preserve"> </w:t>
      </w:r>
      <w:r w:rsidR="004C54C2" w:rsidRPr="000428C1">
        <w:rPr>
          <w:rFonts w:ascii="Arial" w:hAnsi="Arial" w:cs="Arial"/>
          <w:color w:val="7F7F7F" w:themeColor="text1" w:themeTint="80"/>
          <w:sz w:val="20"/>
          <w:szCs w:val="22"/>
        </w:rPr>
        <w:t>Joanna Dąbek</w:t>
      </w:r>
      <w:r w:rsidRPr="000428C1">
        <w:rPr>
          <w:rFonts w:ascii="Arial" w:hAnsi="Arial" w:cs="Arial"/>
          <w:color w:val="7F7F7F" w:themeColor="text1" w:themeTint="80"/>
          <w:sz w:val="20"/>
          <w:szCs w:val="22"/>
        </w:rPr>
        <w:t xml:space="preserve"> | </w:t>
      </w:r>
      <w:r w:rsidR="004C54C2" w:rsidRPr="000428C1">
        <w:rPr>
          <w:rFonts w:ascii="Arial" w:hAnsi="Arial" w:cs="Arial"/>
          <w:color w:val="7F7F7F" w:themeColor="text1" w:themeTint="80"/>
          <w:sz w:val="20"/>
          <w:szCs w:val="22"/>
        </w:rPr>
        <w:t>Grayling</w:t>
      </w:r>
      <w:r w:rsidRPr="000428C1">
        <w:rPr>
          <w:rFonts w:ascii="Arial" w:hAnsi="Arial" w:cs="Arial"/>
          <w:color w:val="7F7F7F" w:themeColor="text1" w:themeTint="80"/>
          <w:sz w:val="20"/>
          <w:szCs w:val="22"/>
        </w:rPr>
        <w:t xml:space="preserve"> | e-mail: </w:t>
      </w:r>
      <w:r w:rsidR="004C54C2" w:rsidRPr="000428C1">
        <w:rPr>
          <w:rFonts w:ascii="Arial" w:hAnsi="Arial" w:cs="Arial"/>
          <w:color w:val="7F7F7F" w:themeColor="text1" w:themeTint="80"/>
          <w:sz w:val="20"/>
          <w:szCs w:val="22"/>
        </w:rPr>
        <w:t>joanna.dabek@grayling.com | tel.: 607 104 852</w:t>
      </w:r>
    </w:p>
    <w:sectPr w:rsidR="000D623E" w:rsidRPr="000428C1" w:rsidSect="005705A9">
      <w:headerReference w:type="default" r:id="rId8"/>
      <w:footerReference w:type="default" r:id="rId9"/>
      <w:pgSz w:w="11900" w:h="16840"/>
      <w:pgMar w:top="1953" w:right="1127" w:bottom="1417" w:left="993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5702D" w14:textId="77777777" w:rsidR="00A177D1" w:rsidRDefault="00A177D1" w:rsidP="006636EB">
      <w:r>
        <w:separator/>
      </w:r>
    </w:p>
  </w:endnote>
  <w:endnote w:type="continuationSeparator" w:id="0">
    <w:p w14:paraId="128202B5" w14:textId="77777777" w:rsidR="00A177D1" w:rsidRDefault="00A177D1" w:rsidP="0066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D403" w14:textId="77777777" w:rsidR="006E4B01" w:rsidRPr="002F2CD1" w:rsidRDefault="00AF773C">
    <w:pPr>
      <w:pStyle w:val="Stopka"/>
      <w:rPr>
        <w:rFonts w:ascii="Arial" w:hAnsi="Arial" w:cs="Arial"/>
        <w:color w:val="4ACBD6"/>
        <w:sz w:val="22"/>
        <w:szCs w:val="22"/>
      </w:rPr>
    </w:pPr>
    <w:r>
      <w:rPr>
        <w:rFonts w:ascii="Arial" w:hAnsi="Arial" w:cs="Arial"/>
        <w:noProof/>
        <w:color w:val="4ACBD6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6ABD408" wp14:editId="76ABD409">
              <wp:simplePos x="0" y="0"/>
              <wp:positionH relativeFrom="column">
                <wp:posOffset>-690245</wp:posOffset>
              </wp:positionH>
              <wp:positionV relativeFrom="paragraph">
                <wp:posOffset>-295910</wp:posOffset>
              </wp:positionV>
              <wp:extent cx="7697470" cy="45720"/>
              <wp:effectExtent l="0" t="0" r="0" b="0"/>
              <wp:wrapNone/>
              <wp:docPr id="62" name="Prostoką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97470" cy="45720"/>
                      </a:xfrm>
                      <a:prstGeom prst="rect">
                        <a:avLst/>
                      </a:prstGeom>
                      <a:solidFill>
                        <a:srgbClr val="4ACBD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4B09A9" id="Prostokąt 62" o:spid="_x0000_s1026" style="position:absolute;margin-left:-54.35pt;margin-top:-23.3pt;width:606.1pt;height:3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" fillcolor="#4acbd6" stroked="f">
              <v:path arrowok="t"/>
            </v:rect>
          </w:pict>
        </mc:Fallback>
      </mc:AlternateContent>
    </w:r>
    <w:r w:rsidR="002F2CD1" w:rsidRPr="002F2CD1">
      <w:rPr>
        <w:rFonts w:ascii="Arial" w:hAnsi="Arial" w:cs="Arial"/>
        <w:color w:val="4ACBD6"/>
        <w:sz w:val="22"/>
        <w:szCs w:val="22"/>
      </w:rPr>
      <w:t>www.tp-link.com.pl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B00F" w14:textId="77777777" w:rsidR="00A177D1" w:rsidRDefault="00A177D1" w:rsidP="006636EB">
      <w:r>
        <w:separator/>
      </w:r>
    </w:p>
  </w:footnote>
  <w:footnote w:type="continuationSeparator" w:id="0">
    <w:p w14:paraId="1C15FD01" w14:textId="77777777" w:rsidR="00A177D1" w:rsidRDefault="00A177D1" w:rsidP="0066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D402" w14:textId="77777777" w:rsidR="006636EB" w:rsidRPr="006E4B01" w:rsidRDefault="00AF773C" w:rsidP="006E4B0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6ABD404" wp14:editId="76ABD405">
              <wp:simplePos x="0" y="0"/>
              <wp:positionH relativeFrom="page">
                <wp:align>left</wp:align>
              </wp:positionH>
              <wp:positionV relativeFrom="paragraph">
                <wp:posOffset>-553085</wp:posOffset>
              </wp:positionV>
              <wp:extent cx="7753914" cy="1150973"/>
              <wp:effectExtent l="0" t="0" r="0" b="0"/>
              <wp:wrapNone/>
              <wp:docPr id="54" name="Prostokąt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914" cy="1150973"/>
                      </a:xfrm>
                      <a:prstGeom prst="rect">
                        <a:avLst/>
                      </a:prstGeom>
                      <a:solidFill>
                        <a:srgbClr val="4ACBD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2C62FC" id="Prostokąt 54" o:spid="_x0000_s1026" style="position:absolute;margin-left:0;margin-top:-43.55pt;width:610.55pt;height:90.65pt;z-index:-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" fillcolor="#4acbd6" stroked="f">
              <v:path arrowok="t"/>
              <w10:wrap anchorx="page"/>
            </v:rect>
          </w:pict>
        </mc:Fallback>
      </mc:AlternateContent>
    </w:r>
    <w:r w:rsidR="006E4B01">
      <w:rPr>
        <w:noProof/>
      </w:rPr>
      <w:drawing>
        <wp:anchor distT="0" distB="0" distL="114300" distR="114300" simplePos="0" relativeHeight="251658240" behindDoc="0" locked="0" layoutInCell="1" allowOverlap="1" wp14:anchorId="76ABD406" wp14:editId="76ABD407">
          <wp:simplePos x="0" y="0"/>
          <wp:positionH relativeFrom="column">
            <wp:posOffset>-228318</wp:posOffset>
          </wp:positionH>
          <wp:positionV relativeFrom="paragraph">
            <wp:posOffset>-324268</wp:posOffset>
          </wp:positionV>
          <wp:extent cx="1712595" cy="92519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TPLINK_Logo_H_SM_R_WH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2595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F222E"/>
    <w:multiLevelType w:val="hybridMultilevel"/>
    <w:tmpl w:val="CD7A3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1D"/>
    <w:rsid w:val="00005FEA"/>
    <w:rsid w:val="000114A4"/>
    <w:rsid w:val="0002227B"/>
    <w:rsid w:val="000243E1"/>
    <w:rsid w:val="0002534C"/>
    <w:rsid w:val="0002626B"/>
    <w:rsid w:val="00030ED7"/>
    <w:rsid w:val="0004052F"/>
    <w:rsid w:val="000425B6"/>
    <w:rsid w:val="000428C1"/>
    <w:rsid w:val="000470C3"/>
    <w:rsid w:val="000518E4"/>
    <w:rsid w:val="000675BC"/>
    <w:rsid w:val="00072E78"/>
    <w:rsid w:val="00073EDE"/>
    <w:rsid w:val="000751F3"/>
    <w:rsid w:val="000775C4"/>
    <w:rsid w:val="0008285D"/>
    <w:rsid w:val="000863AC"/>
    <w:rsid w:val="00097F3D"/>
    <w:rsid w:val="000A2461"/>
    <w:rsid w:val="000A31A0"/>
    <w:rsid w:val="000B1B16"/>
    <w:rsid w:val="000B7A1C"/>
    <w:rsid w:val="000D623E"/>
    <w:rsid w:val="000D6E13"/>
    <w:rsid w:val="000E40E7"/>
    <w:rsid w:val="000E4801"/>
    <w:rsid w:val="000F0335"/>
    <w:rsid w:val="000F62A6"/>
    <w:rsid w:val="000F6A5E"/>
    <w:rsid w:val="001002D8"/>
    <w:rsid w:val="00105CB7"/>
    <w:rsid w:val="00106BD6"/>
    <w:rsid w:val="00110A52"/>
    <w:rsid w:val="001134AA"/>
    <w:rsid w:val="00126486"/>
    <w:rsid w:val="0013044C"/>
    <w:rsid w:val="00130924"/>
    <w:rsid w:val="001346D0"/>
    <w:rsid w:val="00145B4D"/>
    <w:rsid w:val="0015740A"/>
    <w:rsid w:val="001921BB"/>
    <w:rsid w:val="00192638"/>
    <w:rsid w:val="00195A8B"/>
    <w:rsid w:val="001A1F50"/>
    <w:rsid w:val="001B09D6"/>
    <w:rsid w:val="001B779A"/>
    <w:rsid w:val="001C02C0"/>
    <w:rsid w:val="001C5944"/>
    <w:rsid w:val="001D115C"/>
    <w:rsid w:val="001E000A"/>
    <w:rsid w:val="001E1E11"/>
    <w:rsid w:val="001F08C7"/>
    <w:rsid w:val="001F1B72"/>
    <w:rsid w:val="001F25FE"/>
    <w:rsid w:val="00201581"/>
    <w:rsid w:val="00206DB3"/>
    <w:rsid w:val="0021487C"/>
    <w:rsid w:val="002165F7"/>
    <w:rsid w:val="0021670A"/>
    <w:rsid w:val="00227DB0"/>
    <w:rsid w:val="00231D15"/>
    <w:rsid w:val="00232F7B"/>
    <w:rsid w:val="00233A33"/>
    <w:rsid w:val="00233D09"/>
    <w:rsid w:val="00240BB2"/>
    <w:rsid w:val="00253D7E"/>
    <w:rsid w:val="0026341B"/>
    <w:rsid w:val="002A0AF8"/>
    <w:rsid w:val="002A15EB"/>
    <w:rsid w:val="002B4384"/>
    <w:rsid w:val="002D32A3"/>
    <w:rsid w:val="002D56C9"/>
    <w:rsid w:val="002E1C53"/>
    <w:rsid w:val="002F0007"/>
    <w:rsid w:val="002F2CD1"/>
    <w:rsid w:val="003024F8"/>
    <w:rsid w:val="00311383"/>
    <w:rsid w:val="003166B8"/>
    <w:rsid w:val="00327C97"/>
    <w:rsid w:val="0033134E"/>
    <w:rsid w:val="0033144C"/>
    <w:rsid w:val="0033698A"/>
    <w:rsid w:val="003376D3"/>
    <w:rsid w:val="00343EB6"/>
    <w:rsid w:val="003459F7"/>
    <w:rsid w:val="00346D30"/>
    <w:rsid w:val="00347562"/>
    <w:rsid w:val="00361FDD"/>
    <w:rsid w:val="0036273E"/>
    <w:rsid w:val="003640E9"/>
    <w:rsid w:val="00365208"/>
    <w:rsid w:val="00365C62"/>
    <w:rsid w:val="00372781"/>
    <w:rsid w:val="0037321F"/>
    <w:rsid w:val="003745D0"/>
    <w:rsid w:val="00384D21"/>
    <w:rsid w:val="003A1AE4"/>
    <w:rsid w:val="003B0798"/>
    <w:rsid w:val="003B129E"/>
    <w:rsid w:val="003B2BB7"/>
    <w:rsid w:val="003B497E"/>
    <w:rsid w:val="003C63C9"/>
    <w:rsid w:val="003E4497"/>
    <w:rsid w:val="003E5261"/>
    <w:rsid w:val="003F1211"/>
    <w:rsid w:val="003F2B4D"/>
    <w:rsid w:val="003F458F"/>
    <w:rsid w:val="00401D80"/>
    <w:rsid w:val="004073E8"/>
    <w:rsid w:val="004170DB"/>
    <w:rsid w:val="00417668"/>
    <w:rsid w:val="004179E2"/>
    <w:rsid w:val="00424FAA"/>
    <w:rsid w:val="004274F1"/>
    <w:rsid w:val="00434FF0"/>
    <w:rsid w:val="00441F14"/>
    <w:rsid w:val="00460DF7"/>
    <w:rsid w:val="00464154"/>
    <w:rsid w:val="00474E8C"/>
    <w:rsid w:val="004755CC"/>
    <w:rsid w:val="00482798"/>
    <w:rsid w:val="00493A5F"/>
    <w:rsid w:val="004943BB"/>
    <w:rsid w:val="004960BE"/>
    <w:rsid w:val="004C54C2"/>
    <w:rsid w:val="004D12F6"/>
    <w:rsid w:val="004E7018"/>
    <w:rsid w:val="00500259"/>
    <w:rsid w:val="005016C5"/>
    <w:rsid w:val="00510234"/>
    <w:rsid w:val="005102C5"/>
    <w:rsid w:val="005117DB"/>
    <w:rsid w:val="005149A8"/>
    <w:rsid w:val="00540A17"/>
    <w:rsid w:val="00547629"/>
    <w:rsid w:val="00555E52"/>
    <w:rsid w:val="005705A9"/>
    <w:rsid w:val="00582363"/>
    <w:rsid w:val="005874E3"/>
    <w:rsid w:val="005904E6"/>
    <w:rsid w:val="00593071"/>
    <w:rsid w:val="00594505"/>
    <w:rsid w:val="00595424"/>
    <w:rsid w:val="005A44AF"/>
    <w:rsid w:val="005A44BB"/>
    <w:rsid w:val="005B02A3"/>
    <w:rsid w:val="005B79E6"/>
    <w:rsid w:val="005C1A0D"/>
    <w:rsid w:val="005C3186"/>
    <w:rsid w:val="005D3595"/>
    <w:rsid w:val="005D44C6"/>
    <w:rsid w:val="005E0A95"/>
    <w:rsid w:val="005E1920"/>
    <w:rsid w:val="005E5C29"/>
    <w:rsid w:val="005F1722"/>
    <w:rsid w:val="005F2D33"/>
    <w:rsid w:val="005F72C6"/>
    <w:rsid w:val="0061330D"/>
    <w:rsid w:val="00614C1D"/>
    <w:rsid w:val="00620EDB"/>
    <w:rsid w:val="006308AF"/>
    <w:rsid w:val="0064296F"/>
    <w:rsid w:val="0064475B"/>
    <w:rsid w:val="006447AD"/>
    <w:rsid w:val="0064701D"/>
    <w:rsid w:val="0064727A"/>
    <w:rsid w:val="00653AF1"/>
    <w:rsid w:val="006549E1"/>
    <w:rsid w:val="0065505F"/>
    <w:rsid w:val="006632A3"/>
    <w:rsid w:val="006636EB"/>
    <w:rsid w:val="006644B1"/>
    <w:rsid w:val="00664AB9"/>
    <w:rsid w:val="006879D1"/>
    <w:rsid w:val="006A1B32"/>
    <w:rsid w:val="006A2DED"/>
    <w:rsid w:val="006A4BC9"/>
    <w:rsid w:val="006A5619"/>
    <w:rsid w:val="006A708B"/>
    <w:rsid w:val="006C070A"/>
    <w:rsid w:val="006C249C"/>
    <w:rsid w:val="006C569F"/>
    <w:rsid w:val="006D021B"/>
    <w:rsid w:val="006D02A4"/>
    <w:rsid w:val="006D105A"/>
    <w:rsid w:val="006D6A0A"/>
    <w:rsid w:val="006E4B01"/>
    <w:rsid w:val="00700CF6"/>
    <w:rsid w:val="00716D60"/>
    <w:rsid w:val="00725810"/>
    <w:rsid w:val="00732D31"/>
    <w:rsid w:val="00733AB6"/>
    <w:rsid w:val="00750C6E"/>
    <w:rsid w:val="00760F08"/>
    <w:rsid w:val="0076196F"/>
    <w:rsid w:val="00766C5C"/>
    <w:rsid w:val="00767DB8"/>
    <w:rsid w:val="00780C05"/>
    <w:rsid w:val="00784E83"/>
    <w:rsid w:val="00785629"/>
    <w:rsid w:val="00791123"/>
    <w:rsid w:val="00793959"/>
    <w:rsid w:val="007954D6"/>
    <w:rsid w:val="007963F4"/>
    <w:rsid w:val="007A0494"/>
    <w:rsid w:val="007A2972"/>
    <w:rsid w:val="007A4E85"/>
    <w:rsid w:val="007B6F3B"/>
    <w:rsid w:val="007C707F"/>
    <w:rsid w:val="007D5ABC"/>
    <w:rsid w:val="007D60D2"/>
    <w:rsid w:val="007E274E"/>
    <w:rsid w:val="0080287F"/>
    <w:rsid w:val="00812605"/>
    <w:rsid w:val="008211E8"/>
    <w:rsid w:val="00844566"/>
    <w:rsid w:val="008501CD"/>
    <w:rsid w:val="00851560"/>
    <w:rsid w:val="008528CB"/>
    <w:rsid w:val="00856144"/>
    <w:rsid w:val="00862B25"/>
    <w:rsid w:val="008659A7"/>
    <w:rsid w:val="00866C61"/>
    <w:rsid w:val="008727A1"/>
    <w:rsid w:val="00873429"/>
    <w:rsid w:val="00874455"/>
    <w:rsid w:val="00876C8C"/>
    <w:rsid w:val="00893869"/>
    <w:rsid w:val="008A69B5"/>
    <w:rsid w:val="008B51B8"/>
    <w:rsid w:val="008C0CF1"/>
    <w:rsid w:val="008C276B"/>
    <w:rsid w:val="008C4E79"/>
    <w:rsid w:val="008C6978"/>
    <w:rsid w:val="008D2580"/>
    <w:rsid w:val="008D546D"/>
    <w:rsid w:val="008E45F3"/>
    <w:rsid w:val="008F56A2"/>
    <w:rsid w:val="008F6085"/>
    <w:rsid w:val="008F659D"/>
    <w:rsid w:val="008F7A0A"/>
    <w:rsid w:val="00900927"/>
    <w:rsid w:val="009042F5"/>
    <w:rsid w:val="00910600"/>
    <w:rsid w:val="00944115"/>
    <w:rsid w:val="00946F30"/>
    <w:rsid w:val="009529F6"/>
    <w:rsid w:val="00956149"/>
    <w:rsid w:val="009834A3"/>
    <w:rsid w:val="0099116E"/>
    <w:rsid w:val="00997A52"/>
    <w:rsid w:val="009A09C8"/>
    <w:rsid w:val="009C09CD"/>
    <w:rsid w:val="009D61B9"/>
    <w:rsid w:val="009D7AF6"/>
    <w:rsid w:val="009E2785"/>
    <w:rsid w:val="009E4BA8"/>
    <w:rsid w:val="009F0579"/>
    <w:rsid w:val="009F37AC"/>
    <w:rsid w:val="009F3AFD"/>
    <w:rsid w:val="00A0097A"/>
    <w:rsid w:val="00A014C2"/>
    <w:rsid w:val="00A177D1"/>
    <w:rsid w:val="00A244A6"/>
    <w:rsid w:val="00A31D3F"/>
    <w:rsid w:val="00A34812"/>
    <w:rsid w:val="00A4660B"/>
    <w:rsid w:val="00A56041"/>
    <w:rsid w:val="00A62F97"/>
    <w:rsid w:val="00A77487"/>
    <w:rsid w:val="00A839FD"/>
    <w:rsid w:val="00AB0F1A"/>
    <w:rsid w:val="00AB3B1D"/>
    <w:rsid w:val="00AB5F5D"/>
    <w:rsid w:val="00AD6498"/>
    <w:rsid w:val="00AD652D"/>
    <w:rsid w:val="00AE4465"/>
    <w:rsid w:val="00AF3558"/>
    <w:rsid w:val="00AF773C"/>
    <w:rsid w:val="00B0189A"/>
    <w:rsid w:val="00B01C77"/>
    <w:rsid w:val="00B023B3"/>
    <w:rsid w:val="00B0710F"/>
    <w:rsid w:val="00B075FF"/>
    <w:rsid w:val="00B222EB"/>
    <w:rsid w:val="00B25C67"/>
    <w:rsid w:val="00B27D75"/>
    <w:rsid w:val="00B54D1A"/>
    <w:rsid w:val="00B6327E"/>
    <w:rsid w:val="00B63D06"/>
    <w:rsid w:val="00B74FCB"/>
    <w:rsid w:val="00B83018"/>
    <w:rsid w:val="00B93658"/>
    <w:rsid w:val="00BB1422"/>
    <w:rsid w:val="00BC018B"/>
    <w:rsid w:val="00BC4634"/>
    <w:rsid w:val="00BD14A2"/>
    <w:rsid w:val="00BD29A9"/>
    <w:rsid w:val="00BD6148"/>
    <w:rsid w:val="00BD72E9"/>
    <w:rsid w:val="00BF16EF"/>
    <w:rsid w:val="00C02D2E"/>
    <w:rsid w:val="00C07886"/>
    <w:rsid w:val="00C10892"/>
    <w:rsid w:val="00C12103"/>
    <w:rsid w:val="00C13E8C"/>
    <w:rsid w:val="00C1583C"/>
    <w:rsid w:val="00C16885"/>
    <w:rsid w:val="00C37DCE"/>
    <w:rsid w:val="00C42C14"/>
    <w:rsid w:val="00C47609"/>
    <w:rsid w:val="00C515BF"/>
    <w:rsid w:val="00C52C39"/>
    <w:rsid w:val="00C52E52"/>
    <w:rsid w:val="00C60CA3"/>
    <w:rsid w:val="00C665C7"/>
    <w:rsid w:val="00C7546B"/>
    <w:rsid w:val="00C80931"/>
    <w:rsid w:val="00C84008"/>
    <w:rsid w:val="00C9366C"/>
    <w:rsid w:val="00CB44C5"/>
    <w:rsid w:val="00CC45F2"/>
    <w:rsid w:val="00CC7A4C"/>
    <w:rsid w:val="00CF102E"/>
    <w:rsid w:val="00CF6927"/>
    <w:rsid w:val="00D00046"/>
    <w:rsid w:val="00D01DFA"/>
    <w:rsid w:val="00D0533A"/>
    <w:rsid w:val="00D060FC"/>
    <w:rsid w:val="00D15BB0"/>
    <w:rsid w:val="00D30C38"/>
    <w:rsid w:val="00D43B4A"/>
    <w:rsid w:val="00D452C6"/>
    <w:rsid w:val="00D509E3"/>
    <w:rsid w:val="00D50EB1"/>
    <w:rsid w:val="00D57B47"/>
    <w:rsid w:val="00D57ECF"/>
    <w:rsid w:val="00D606EA"/>
    <w:rsid w:val="00D63370"/>
    <w:rsid w:val="00D73CE1"/>
    <w:rsid w:val="00D802F7"/>
    <w:rsid w:val="00D80B8F"/>
    <w:rsid w:val="00D80FDE"/>
    <w:rsid w:val="00DA3344"/>
    <w:rsid w:val="00DB0449"/>
    <w:rsid w:val="00DB5DCA"/>
    <w:rsid w:val="00DD5D3C"/>
    <w:rsid w:val="00DD743E"/>
    <w:rsid w:val="00DF7918"/>
    <w:rsid w:val="00E11E34"/>
    <w:rsid w:val="00E1262F"/>
    <w:rsid w:val="00E13ACC"/>
    <w:rsid w:val="00E13FFB"/>
    <w:rsid w:val="00E22BDA"/>
    <w:rsid w:val="00E242BE"/>
    <w:rsid w:val="00E25418"/>
    <w:rsid w:val="00E31E55"/>
    <w:rsid w:val="00E320E4"/>
    <w:rsid w:val="00E326C6"/>
    <w:rsid w:val="00E32FA8"/>
    <w:rsid w:val="00E35B1D"/>
    <w:rsid w:val="00E44998"/>
    <w:rsid w:val="00E55692"/>
    <w:rsid w:val="00E60FA8"/>
    <w:rsid w:val="00E633FF"/>
    <w:rsid w:val="00E64A83"/>
    <w:rsid w:val="00E657C4"/>
    <w:rsid w:val="00E661F0"/>
    <w:rsid w:val="00E66D8D"/>
    <w:rsid w:val="00E67EB6"/>
    <w:rsid w:val="00E752FB"/>
    <w:rsid w:val="00E911E2"/>
    <w:rsid w:val="00E91AD3"/>
    <w:rsid w:val="00E91F6C"/>
    <w:rsid w:val="00E94F4B"/>
    <w:rsid w:val="00EA2A55"/>
    <w:rsid w:val="00EB6FCF"/>
    <w:rsid w:val="00EC4C2A"/>
    <w:rsid w:val="00EC60B5"/>
    <w:rsid w:val="00ED0D5E"/>
    <w:rsid w:val="00ED0E73"/>
    <w:rsid w:val="00ED478C"/>
    <w:rsid w:val="00EE5E98"/>
    <w:rsid w:val="00EE689E"/>
    <w:rsid w:val="00EF5D09"/>
    <w:rsid w:val="00EF684B"/>
    <w:rsid w:val="00F00AF9"/>
    <w:rsid w:val="00F11CF2"/>
    <w:rsid w:val="00F14578"/>
    <w:rsid w:val="00F157EC"/>
    <w:rsid w:val="00F223E7"/>
    <w:rsid w:val="00F24E4A"/>
    <w:rsid w:val="00F27C65"/>
    <w:rsid w:val="00F27FC0"/>
    <w:rsid w:val="00F30B63"/>
    <w:rsid w:val="00F314AC"/>
    <w:rsid w:val="00F364A2"/>
    <w:rsid w:val="00F372D9"/>
    <w:rsid w:val="00F5350B"/>
    <w:rsid w:val="00F647B8"/>
    <w:rsid w:val="00F75E9E"/>
    <w:rsid w:val="00FA1CF9"/>
    <w:rsid w:val="00FB3801"/>
    <w:rsid w:val="00FC7EA4"/>
    <w:rsid w:val="00FF0636"/>
    <w:rsid w:val="00FF1010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ABD3F3"/>
  <w15:docId w15:val="{BDF33FFD-790E-4CA5-BED8-C85ADE23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B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3166B8"/>
    <w:pPr>
      <w:ind w:left="284" w:hanging="284"/>
    </w:pPr>
    <w:rPr>
      <w:rFonts w:ascii="Georgia" w:eastAsia="Times New Roman" w:hAnsi="Georgia" w:cs="Times New Roman"/>
      <w:sz w:val="16"/>
      <w:szCs w:val="16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66B8"/>
    <w:rPr>
      <w:rFonts w:ascii="Georgia" w:eastAsia="Times New Roman" w:hAnsi="Georgi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3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6E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63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6E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E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EB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72581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01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E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E7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E78"/>
    <w:rPr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F3B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F3B"/>
    <w:rPr>
      <w:vertAlign w:val="superscript"/>
    </w:rPr>
  </w:style>
  <w:style w:type="table" w:styleId="Tabela-Siatka">
    <w:name w:val="Table Grid"/>
    <w:basedOn w:val="Standardowy"/>
    <w:uiPriority w:val="59"/>
    <w:rsid w:val="007C707F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F6A5E"/>
    <w:rPr>
      <w:lang w:val="pl-PL"/>
    </w:rPr>
  </w:style>
  <w:style w:type="paragraph" w:styleId="Akapitzlist">
    <w:name w:val="List Paragraph"/>
    <w:basedOn w:val="Normalny"/>
    <w:uiPriority w:val="34"/>
    <w:qFormat/>
    <w:rsid w:val="00BD29A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p-link.com/pl/business-networking/ceiling-mount-ap/eap265-h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\Desktop\TP-Link_NewBrand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TP-Link_NewBrand</Template>
  <TotalTime>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Kuprian</dc:creator>
  <cp:lastModifiedBy>Joanna Dabek</cp:lastModifiedBy>
  <cp:revision>3</cp:revision>
  <cp:lastPrinted>2018-03-21T13:31:00Z</cp:lastPrinted>
  <dcterms:created xsi:type="dcterms:W3CDTF">2020-09-07T09:56:00Z</dcterms:created>
  <dcterms:modified xsi:type="dcterms:W3CDTF">2020-09-08T13:37:00Z</dcterms:modified>
</cp:coreProperties>
</file>